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7"/>
          <w:szCs w:val="17"/>
        </w:rPr>
        <w:t>ALORI Leštěnka na nábytek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b w:val="1"/>
          <w:bCs w:val="1"/>
          <w:sz w:val="13"/>
          <w:szCs w:val="13"/>
        </w:rPr>
        <w:t>Varování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H315 Dráždí kůži. H319 Způsobuje vážné podráždění očí.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P101 Je-li nutná lékařská pomoc, mějte po ruce obal nebo štítek výrobku. P102 Uchovávejte mimo dosah dětí. P264 Po manipulaci důkladně omyjte ruce a zasažené části těla. P280 Používejte ochranné brýle. P305+P351+P338 PŘI ZASAŽENÍ OČÍ: Několik minut opatrně vyplachujte vodou. Vyjměte kontaktní čočky, jsou-li nasazeny a pokud je lze vyjmout snadno. Pokračujte ve vyplachování. P337+P313 Přetrvává-li podráždění očí: Vyhledejte lékařskou pomoc/ošetření.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EUH208 Obsahuje reakční směs: 5-chlor-2-methylisothiazol-3(2H)-on a 2-methylisothiazol-3(2H)-on (3:1). Může vyvolat alergickou reakci.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&lt;5 % aniontové povrchově aktivní látky, &lt;5 % neiontové povrchově aktivní látky, &lt;5 % EDTA a její soli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UFI: A1EF-F16S-300Y-71X9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2025-10-02T07:18:50Z</dcterms:modified>
  <cp:revision>1</cp:revision>
</cp:coreProperties>
</file>